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page" w:tblpX="494" w:tblpY="51"/>
        <w:tblW w:w="15871" w:type="dxa"/>
        <w:tblLook w:val="04A0" w:firstRow="1" w:lastRow="0" w:firstColumn="1" w:lastColumn="0" w:noHBand="0" w:noVBand="1"/>
      </w:tblPr>
      <w:tblGrid>
        <w:gridCol w:w="5382"/>
        <w:gridCol w:w="5528"/>
        <w:gridCol w:w="4961"/>
      </w:tblGrid>
      <w:tr w:rsidR="007C1814" w:rsidTr="00723D9C">
        <w:tc>
          <w:tcPr>
            <w:tcW w:w="15871" w:type="dxa"/>
            <w:gridSpan w:val="3"/>
          </w:tcPr>
          <w:p w:rsidR="007C1814" w:rsidRDefault="007C1814" w:rsidP="007C1814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40779254"/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Le p</w:t>
            </w:r>
            <w:r w:rsidRPr="00463684"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 xml:space="preserve">ublic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5D3918">
              <w:rPr>
                <w:rFonts w:ascii="Arial" w:hAnsi="Arial" w:cs="Arial"/>
                <w:sz w:val="20"/>
                <w:szCs w:val="20"/>
              </w:rPr>
              <w:t>tout adhérent et militant</w:t>
            </w:r>
          </w:p>
          <w:p w:rsidR="007C1814" w:rsidRDefault="007C1814" w:rsidP="007C18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Les p</w:t>
            </w:r>
            <w:r w:rsidRPr="00AA685A"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ré</w:t>
            </w:r>
            <w:r w:rsidRPr="00E13BE7">
              <w:rPr>
                <w:rFonts w:ascii="Arial" w:hAnsi="Arial" w:cs="Arial"/>
                <w:b/>
                <w:noProof/>
                <w:color w:val="EA4F70" w:themeColor="accent1"/>
                <w:sz w:val="20"/>
                <w:szCs w:val="18"/>
              </w:rPr>
              <w:t>-requis</w:t>
            </w:r>
            <w:r w:rsidRPr="00E13BE7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005BCD" w:rsidRPr="00005BCD">
              <w:rPr>
                <w:rFonts w:ascii="Arial" w:hAnsi="Arial" w:cs="Arial"/>
              </w:rPr>
              <w:t xml:space="preserve"> </w:t>
            </w:r>
            <w:r w:rsidR="005D3918">
              <w:rPr>
                <w:rFonts w:ascii="Arial" w:hAnsi="Arial" w:cs="Arial"/>
                <w:sz w:val="20"/>
                <w:szCs w:val="20"/>
              </w:rPr>
              <w:t>avoir suivi la formation « </w:t>
            </w:r>
            <w:r w:rsidR="00656ABD">
              <w:rPr>
                <w:rFonts w:ascii="Arial" w:hAnsi="Arial" w:cs="Arial"/>
                <w:sz w:val="20"/>
                <w:szCs w:val="20"/>
              </w:rPr>
              <w:t xml:space="preserve">3-4-1 </w:t>
            </w:r>
            <w:r w:rsidR="005D391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6ABD">
              <w:rPr>
                <w:rFonts w:ascii="Arial" w:hAnsi="Arial" w:cs="Arial"/>
                <w:sz w:val="20"/>
                <w:szCs w:val="20"/>
              </w:rPr>
              <w:t>Initiation au</w:t>
            </w:r>
            <w:r w:rsidR="00381731">
              <w:rPr>
                <w:rFonts w:ascii="Arial" w:hAnsi="Arial" w:cs="Arial"/>
                <w:sz w:val="20"/>
                <w:szCs w:val="20"/>
              </w:rPr>
              <w:t xml:space="preserve"> droit du travail</w:t>
            </w:r>
            <w:r w:rsidR="005D3918">
              <w:rPr>
                <w:rFonts w:ascii="Arial" w:hAnsi="Arial" w:cs="Arial"/>
                <w:sz w:val="20"/>
                <w:szCs w:val="20"/>
              </w:rPr>
              <w:t> ».</w:t>
            </w:r>
          </w:p>
          <w:p w:rsidR="00471D4E" w:rsidRPr="00471D4E" w:rsidRDefault="00471D4E" w:rsidP="007C181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7C1814" w:rsidRPr="00463684" w:rsidRDefault="007C1814" w:rsidP="007C1814">
            <w:pPr>
              <w:tabs>
                <w:tab w:val="left" w:pos="1605"/>
              </w:tabs>
              <w:rPr>
                <w:rFonts w:ascii="Arial" w:hAnsi="Arial" w:cs="Arial"/>
                <w:sz w:val="20"/>
                <w:szCs w:val="20"/>
              </w:rPr>
            </w:pPr>
            <w:r w:rsidRPr="00463684">
              <w:rPr>
                <w:rFonts w:ascii="Arial" w:hAnsi="Arial" w:cs="Arial"/>
                <w:b/>
                <w:color w:val="EA4F70" w:themeColor="accent1"/>
                <w:sz w:val="20"/>
                <w:szCs w:val="20"/>
              </w:rPr>
              <w:t>Les objectifs de la formation</w:t>
            </w:r>
            <w:r w:rsidRPr="00463684">
              <w:rPr>
                <w:rFonts w:ascii="Arial" w:hAnsi="Arial" w:cs="Arial"/>
                <w:color w:val="EA4F70" w:themeColor="accent1"/>
                <w:sz w:val="20"/>
                <w:szCs w:val="20"/>
              </w:rPr>
              <w:t xml:space="preserve">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95226" w:rsidRPr="00295226" w:rsidRDefault="00295226" w:rsidP="002952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5226">
              <w:rPr>
                <w:rFonts w:ascii="Arial" w:hAnsi="Arial" w:cs="Arial"/>
                <w:sz w:val="20"/>
                <w:szCs w:val="20"/>
              </w:rPr>
              <w:t xml:space="preserve">Identifier les changements survenus dans l’exécution du contrat de travail (maladie, accident, congés payés, congés spéciaux …) </w:t>
            </w:r>
          </w:p>
          <w:p w:rsidR="00295226" w:rsidRPr="00295226" w:rsidRDefault="00295226" w:rsidP="002952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5226">
              <w:rPr>
                <w:rFonts w:ascii="Arial" w:hAnsi="Arial" w:cs="Arial"/>
                <w:sz w:val="20"/>
                <w:szCs w:val="20"/>
              </w:rPr>
              <w:t>Expliciter ces cas de suspension du contrat de travail au regard de leur impact sur la rémunération</w:t>
            </w:r>
          </w:p>
          <w:p w:rsidR="00295226" w:rsidRDefault="00295226" w:rsidP="0029522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5226">
              <w:rPr>
                <w:rFonts w:ascii="Arial" w:hAnsi="Arial" w:cs="Arial"/>
                <w:sz w:val="20"/>
                <w:szCs w:val="20"/>
              </w:rPr>
              <w:t>Apprendre à li</w:t>
            </w:r>
            <w:r w:rsidR="007C193F">
              <w:rPr>
                <w:rFonts w:ascii="Arial" w:hAnsi="Arial" w:cs="Arial"/>
                <w:sz w:val="20"/>
                <w:szCs w:val="20"/>
              </w:rPr>
              <w:t>re un bulletin de pai</w:t>
            </w:r>
            <w:r w:rsidRPr="00295226">
              <w:rPr>
                <w:rFonts w:ascii="Arial" w:hAnsi="Arial" w:cs="Arial"/>
                <w:sz w:val="20"/>
                <w:szCs w:val="20"/>
              </w:rPr>
              <w:t xml:space="preserve">e simple pour vérifier le respect par l’employeur de ses obligations </w:t>
            </w:r>
          </w:p>
          <w:p w:rsidR="00471D4E" w:rsidRPr="00471D4E" w:rsidRDefault="00471D4E" w:rsidP="00471D4E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7C1814" w:rsidRDefault="007C1814" w:rsidP="003817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2669B2" w:themeColor="accent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A4F70" w:themeColor="accent1"/>
                <w:sz w:val="20"/>
                <w:szCs w:val="20"/>
              </w:rPr>
              <w:t>Les m</w:t>
            </w:r>
            <w:r w:rsidRPr="00463684">
              <w:rPr>
                <w:rFonts w:ascii="Arial" w:hAnsi="Arial" w:cs="Arial"/>
                <w:b/>
                <w:color w:val="EA4F70" w:themeColor="accent1"/>
                <w:sz w:val="20"/>
                <w:szCs w:val="20"/>
              </w:rPr>
              <w:t>éthodes pédagogiques</w:t>
            </w:r>
            <w:r w:rsidRPr="00463684">
              <w:rPr>
                <w:rFonts w:ascii="Arial" w:hAnsi="Arial" w:cs="Arial"/>
                <w:color w:val="EA4F70" w:themeColor="accent1"/>
                <w:sz w:val="20"/>
                <w:szCs w:val="20"/>
              </w:rPr>
              <w:t xml:space="preserve"> </w:t>
            </w:r>
            <w:r w:rsidRPr="0046368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B75BE">
              <w:rPr>
                <w:rFonts w:ascii="Arial" w:hAnsi="Arial" w:cs="Arial"/>
                <w:sz w:val="20"/>
                <w:szCs w:val="20"/>
              </w:rPr>
              <w:t>participation active des stagiaires, questionnaires de contrôle de conna</w:t>
            </w:r>
            <w:r>
              <w:rPr>
                <w:rFonts w:ascii="Arial" w:hAnsi="Arial" w:cs="Arial"/>
                <w:sz w:val="20"/>
                <w:szCs w:val="20"/>
              </w:rPr>
              <w:t>issances, </w:t>
            </w:r>
            <w:r w:rsidR="005D3918">
              <w:rPr>
                <w:rFonts w:ascii="Arial" w:hAnsi="Arial" w:cs="Arial"/>
                <w:sz w:val="20"/>
                <w:szCs w:val="20"/>
              </w:rPr>
              <w:t>cas pratiques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et </w:t>
            </w:r>
            <w:r w:rsidRPr="00005BCD">
              <w:rPr>
                <w:rFonts w:ascii="Arial" w:hAnsi="Arial" w:cs="Arial"/>
                <w:b/>
                <w:color w:val="2669B2" w:themeColor="accent5"/>
                <w:sz w:val="20"/>
                <w:szCs w:val="20"/>
              </w:rPr>
              <w:t>accès à des ressources pédagogiques sur la plateforme formation CFTC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 </w:t>
            </w:r>
            <w:r w:rsidRPr="00005BCD">
              <w:rPr>
                <w:rFonts w:ascii="Arial" w:hAnsi="Arial" w:cs="Arial"/>
                <w:b/>
                <w:color w:val="2669B2" w:themeColor="accent5"/>
                <w:sz w:val="20"/>
                <w:szCs w:val="20"/>
              </w:rPr>
              <w:t>indiqués dans la fiche guide ressources en ligne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 </w:t>
            </w:r>
            <w:r w:rsidRPr="00005BCD">
              <w:rPr>
                <w:rFonts w:ascii="Arial" w:hAnsi="Arial" w:cs="Arial"/>
                <w:b/>
                <w:color w:val="2669B2" w:themeColor="accent5"/>
                <w:sz w:val="20"/>
                <w:szCs w:val="20"/>
              </w:rPr>
              <w:t>en annexe.</w:t>
            </w:r>
            <w:r w:rsidRPr="00005BCD">
              <w:rPr>
                <w:rFonts w:ascii="Arial" w:hAnsi="Arial" w:cs="Arial"/>
                <w:color w:val="2669B2" w:themeColor="accent5"/>
                <w:sz w:val="20"/>
                <w:szCs w:val="20"/>
              </w:rPr>
              <w:t xml:space="preserve">  </w:t>
            </w:r>
            <w:bookmarkEnd w:id="0"/>
          </w:p>
          <w:p w:rsidR="00855CD0" w:rsidRPr="00471D4E" w:rsidRDefault="00855CD0" w:rsidP="003817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2669B2" w:themeColor="accent5"/>
                <w:sz w:val="8"/>
                <w:szCs w:val="8"/>
              </w:rPr>
            </w:pPr>
          </w:p>
          <w:p w:rsidR="00381731" w:rsidRPr="00381731" w:rsidRDefault="00381731" w:rsidP="003817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2669B2" w:themeColor="accent5"/>
                <w:sz w:val="8"/>
                <w:szCs w:val="8"/>
              </w:rPr>
            </w:pPr>
          </w:p>
        </w:tc>
      </w:tr>
      <w:tr w:rsidR="007C1814" w:rsidRPr="00762CB3" w:rsidTr="008B1033">
        <w:trPr>
          <w:trHeight w:val="557"/>
        </w:trPr>
        <w:tc>
          <w:tcPr>
            <w:tcW w:w="5382" w:type="dxa"/>
          </w:tcPr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81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 w:rsidRPr="003C6975">
              <w:rPr>
                <w:rFonts w:ascii="Arial" w:hAnsi="Arial" w:cs="Arial"/>
                <w:b/>
              </w:rPr>
              <w:t>1</w:t>
            </w:r>
            <w:r w:rsidRPr="003C6975">
              <w:rPr>
                <w:rFonts w:ascii="Arial" w:hAnsi="Arial" w:cs="Arial"/>
                <w:b/>
                <w:vertAlign w:val="superscript"/>
              </w:rPr>
              <w:t>er</w:t>
            </w:r>
            <w:r w:rsidRPr="003C6975">
              <w:rPr>
                <w:rFonts w:ascii="Arial" w:hAnsi="Arial" w:cs="Arial"/>
                <w:b/>
              </w:rPr>
              <w:t xml:space="preserve"> jour</w:t>
            </w:r>
          </w:p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814" w:rsidRPr="003C6975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 w:rsidRPr="003C6975">
              <w:rPr>
                <w:rFonts w:ascii="Arial" w:hAnsi="Arial" w:cs="Arial"/>
                <w:b/>
              </w:rPr>
              <w:t>2</w:t>
            </w:r>
            <w:r w:rsidRPr="003C6975">
              <w:rPr>
                <w:rFonts w:ascii="Arial" w:hAnsi="Arial" w:cs="Arial"/>
                <w:b/>
                <w:vertAlign w:val="superscript"/>
              </w:rPr>
              <w:t>ème</w:t>
            </w:r>
            <w:r w:rsidRPr="003C6975">
              <w:rPr>
                <w:rFonts w:ascii="Arial" w:hAnsi="Arial" w:cs="Arial"/>
                <w:b/>
              </w:rPr>
              <w:t xml:space="preserve"> jour</w:t>
            </w:r>
          </w:p>
        </w:tc>
        <w:tc>
          <w:tcPr>
            <w:tcW w:w="4961" w:type="dxa"/>
          </w:tcPr>
          <w:p w:rsidR="007C1814" w:rsidRPr="005772A4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814" w:rsidRPr="003C6975" w:rsidRDefault="007C1814" w:rsidP="007C181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C6975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jour</w:t>
            </w:r>
          </w:p>
        </w:tc>
      </w:tr>
      <w:tr w:rsidR="007C1814" w:rsidRPr="00762CB3" w:rsidTr="008B1033">
        <w:tc>
          <w:tcPr>
            <w:tcW w:w="5382" w:type="dxa"/>
          </w:tcPr>
          <w:p w:rsidR="00295226" w:rsidRDefault="00295226" w:rsidP="003D38B1">
            <w:pPr>
              <w:tabs>
                <w:tab w:val="left" w:pos="2880"/>
                <w:tab w:val="right" w:pos="13860"/>
              </w:tabs>
              <w:jc w:val="center"/>
              <w:rPr>
                <w:rFonts w:ascii="Arial" w:hAnsi="Arial" w:cs="Arial"/>
                <w:b/>
              </w:rPr>
            </w:pPr>
          </w:p>
          <w:p w:rsidR="007C1814" w:rsidRDefault="007C1814" w:rsidP="003D38B1">
            <w:pPr>
              <w:tabs>
                <w:tab w:val="left" w:pos="2880"/>
                <w:tab w:val="right" w:pos="13860"/>
              </w:tabs>
              <w:jc w:val="center"/>
              <w:rPr>
                <w:rFonts w:ascii="Arial" w:hAnsi="Arial" w:cs="Arial"/>
                <w:b/>
              </w:rPr>
            </w:pPr>
            <w:r w:rsidRPr="00BF5BD5">
              <w:rPr>
                <w:rFonts w:ascii="Arial" w:hAnsi="Arial" w:cs="Arial"/>
                <w:b/>
              </w:rPr>
              <w:t xml:space="preserve">ACCUEIL </w:t>
            </w:r>
            <w:r>
              <w:rPr>
                <w:rFonts w:ascii="Arial" w:hAnsi="Arial" w:cs="Arial"/>
                <w:b/>
              </w:rPr>
              <w:t>ET INTRODUCTION</w:t>
            </w:r>
          </w:p>
          <w:p w:rsidR="00C749D8" w:rsidRPr="00C749D8" w:rsidRDefault="00C749D8" w:rsidP="003D38B1">
            <w:pPr>
              <w:tabs>
                <w:tab w:val="left" w:pos="2880"/>
                <w:tab w:val="right" w:pos="13860"/>
              </w:tabs>
              <w:jc w:val="center"/>
              <w:rPr>
                <w:rFonts w:ascii="Arial" w:hAnsi="Arial" w:cs="Arial"/>
                <w:b/>
                <w:sz w:val="12"/>
              </w:rPr>
            </w:pPr>
          </w:p>
          <w:p w:rsidR="007C1814" w:rsidRPr="001959B7" w:rsidRDefault="007C1814" w:rsidP="007C1814">
            <w:pPr>
              <w:ind w:right="318"/>
              <w:rPr>
                <w:rFonts w:ascii="Arial" w:hAnsi="Arial"/>
                <w:bCs/>
                <w:iCs/>
                <w:sz w:val="8"/>
                <w:szCs w:val="8"/>
              </w:rPr>
            </w:pPr>
          </w:p>
          <w:p w:rsidR="00295226" w:rsidRP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num" w:pos="457"/>
              </w:tabs>
              <w:ind w:left="457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>La vie du contrat de travail (dont la phase d’exécution du contrat de travail)</w:t>
            </w:r>
          </w:p>
          <w:p w:rsidR="00295226" w:rsidRP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num" w:pos="457"/>
              </w:tabs>
              <w:ind w:left="457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 xml:space="preserve">Les règles de base en droit du travail </w:t>
            </w:r>
            <w:r w:rsidRPr="00337887">
              <w:rPr>
                <w:rFonts w:ascii="Arial" w:hAnsi="Arial"/>
                <w:bCs/>
                <w:sz w:val="20"/>
              </w:rPr>
              <w:t>(rappel)</w:t>
            </w:r>
          </w:p>
          <w:p w:rsidR="007C1814" w:rsidRPr="00E62E45" w:rsidRDefault="007C1814" w:rsidP="007C1814">
            <w:pPr>
              <w:jc w:val="both"/>
              <w:rPr>
                <w:rFonts w:ascii="Arial" w:hAnsi="Arial"/>
                <w:b/>
                <w:caps/>
                <w:color w:val="FBBB1D" w:themeColor="accent4"/>
                <w:sz w:val="16"/>
              </w:rPr>
            </w:pPr>
          </w:p>
          <w:p w:rsidR="00A34C94" w:rsidRPr="00E62E45" w:rsidRDefault="00A34C94" w:rsidP="00A34C94">
            <w:pPr>
              <w:rPr>
                <w:rFonts w:ascii="Arial" w:hAnsi="Arial"/>
                <w:b/>
                <w:bCs/>
                <w:sz w:val="16"/>
              </w:rPr>
            </w:pPr>
          </w:p>
          <w:p w:rsidR="00013F5E" w:rsidRPr="005772A4" w:rsidRDefault="00295226" w:rsidP="00295226">
            <w:pPr>
              <w:ind w:left="70" w:right="318"/>
              <w:rPr>
                <w:rFonts w:ascii="Arial" w:hAnsi="Arial"/>
                <w:b/>
                <w:bCs/>
                <w:sz w:val="20"/>
              </w:rPr>
            </w:pPr>
            <w:r w:rsidRPr="00295226">
              <w:rPr>
                <w:rFonts w:ascii="Arial" w:hAnsi="Arial"/>
                <w:b/>
                <w:bCs/>
                <w:sz w:val="20"/>
              </w:rPr>
              <w:t>LES PRINCIPAUX CAS DE SUSPENSION DU CONTRAT DE TRAVAIL</w:t>
            </w:r>
          </w:p>
          <w:p w:rsidR="007C2E62" w:rsidRPr="004C584C" w:rsidRDefault="007C2E62" w:rsidP="00005BCD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12"/>
              </w:rPr>
            </w:pPr>
          </w:p>
          <w:p w:rsidR="00295226" w:rsidRP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 xml:space="preserve">Identifier les cas de suspension du contrat de travail </w:t>
            </w:r>
          </w:p>
          <w:p w:rsidR="00295226" w:rsidRP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>Distinguer ceux avec maintien de rémunération et ceux sans maintien de rémunération</w:t>
            </w:r>
          </w:p>
          <w:p w:rsidR="008F6EA2" w:rsidRDefault="008F6EA2" w:rsidP="00005BCD">
            <w:pPr>
              <w:tabs>
                <w:tab w:val="left" w:pos="2880"/>
                <w:tab w:val="right" w:pos="13860"/>
              </w:tabs>
              <w:rPr>
                <w:rFonts w:ascii="Arial" w:hAnsi="Arial"/>
                <w:bCs/>
                <w:sz w:val="20"/>
              </w:rPr>
            </w:pPr>
          </w:p>
          <w:p w:rsidR="00295226" w:rsidRPr="003D38B1" w:rsidRDefault="00295226" w:rsidP="00005BCD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8"/>
                <w:szCs w:val="8"/>
              </w:rPr>
            </w:pPr>
          </w:p>
          <w:p w:rsidR="007C2E62" w:rsidRPr="005772A4" w:rsidRDefault="00295226" w:rsidP="00013F5E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295226">
              <w:rPr>
                <w:rFonts w:ascii="Arial" w:hAnsi="Arial"/>
                <w:b/>
                <w:bCs/>
                <w:sz w:val="20"/>
              </w:rPr>
              <w:t xml:space="preserve">LES CAS DE SUSPENSION DU CONTRAT DE </w:t>
            </w:r>
            <w:r w:rsidR="00F953F9">
              <w:rPr>
                <w:rFonts w:ascii="Arial" w:hAnsi="Arial"/>
                <w:b/>
                <w:bCs/>
                <w:sz w:val="20"/>
              </w:rPr>
              <w:t>TRAVAIL ET LEUR IMPACT SUR LA R</w:t>
            </w:r>
            <w:r w:rsidR="00F953F9">
              <w:rPr>
                <w:rFonts w:ascii="Arial" w:hAnsi="Arial" w:cs="Arial"/>
                <w:b/>
                <w:bCs/>
                <w:sz w:val="20"/>
              </w:rPr>
              <w:t>É</w:t>
            </w:r>
            <w:r w:rsidRPr="00295226">
              <w:rPr>
                <w:rFonts w:ascii="Arial" w:hAnsi="Arial"/>
                <w:b/>
                <w:bCs/>
                <w:sz w:val="20"/>
              </w:rPr>
              <w:t>MUNERATION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:rsidR="004F5DC6" w:rsidRPr="00A34C94" w:rsidRDefault="004F5DC6" w:rsidP="00013F5E">
            <w:pPr>
              <w:ind w:left="72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:rsidR="00295226" w:rsidRP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>Identifier les sources juridiques de la rémunération</w:t>
            </w:r>
          </w:p>
          <w:p w:rsid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 xml:space="preserve">Expliciter les règles de droit en matière de congés payés et les obligations de l’employeur </w:t>
            </w:r>
          </w:p>
          <w:p w:rsidR="00295226" w:rsidRDefault="00295226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</w:p>
          <w:p w:rsidR="0062215F" w:rsidRPr="008B1033" w:rsidRDefault="0062215F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8B1033">
              <w:rPr>
                <w:rFonts w:ascii="Arial" w:hAnsi="Arial"/>
                <w:bCs/>
                <w:color w:val="EA4F70" w:themeColor="accent1"/>
                <w:sz w:val="20"/>
              </w:rPr>
              <w:t>Questionnaires de contrôle des connaissances</w:t>
            </w:r>
          </w:p>
          <w:p w:rsidR="00225A74" w:rsidRPr="003D38B1" w:rsidRDefault="00225A74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</w:p>
        </w:tc>
        <w:tc>
          <w:tcPr>
            <w:tcW w:w="5528" w:type="dxa"/>
          </w:tcPr>
          <w:p w:rsidR="00A736C7" w:rsidRPr="003D38B1" w:rsidRDefault="00A736C7" w:rsidP="00F62513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16"/>
                <w:szCs w:val="16"/>
              </w:rPr>
            </w:pPr>
          </w:p>
          <w:p w:rsidR="004F5DC6" w:rsidRPr="005772A4" w:rsidRDefault="00295226" w:rsidP="00471D4E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295226">
              <w:rPr>
                <w:rFonts w:ascii="Arial" w:hAnsi="Arial"/>
                <w:b/>
                <w:bCs/>
                <w:sz w:val="20"/>
              </w:rPr>
              <w:t xml:space="preserve">LES CAS DE SUSPENSION DU CONTRAT DE </w:t>
            </w:r>
            <w:r w:rsidR="00F953F9">
              <w:rPr>
                <w:rFonts w:ascii="Arial" w:hAnsi="Arial"/>
                <w:b/>
                <w:bCs/>
                <w:sz w:val="20"/>
              </w:rPr>
              <w:t>TRAVAIL ET LEUR IMPACT SUR LA R</w:t>
            </w:r>
            <w:r w:rsidR="00F953F9">
              <w:rPr>
                <w:rFonts w:ascii="Arial" w:hAnsi="Arial" w:cs="Arial"/>
                <w:b/>
                <w:bCs/>
                <w:sz w:val="20"/>
              </w:rPr>
              <w:t>É</w:t>
            </w:r>
            <w:r w:rsidRPr="00295226">
              <w:rPr>
                <w:rFonts w:ascii="Arial" w:hAnsi="Arial"/>
                <w:b/>
                <w:bCs/>
                <w:sz w:val="20"/>
              </w:rPr>
              <w:t>MUNERATION</w:t>
            </w:r>
            <w:r>
              <w:rPr>
                <w:rFonts w:ascii="Arial" w:hAnsi="Arial"/>
                <w:b/>
                <w:bCs/>
                <w:sz w:val="20"/>
              </w:rPr>
              <w:t xml:space="preserve"> (suite)</w:t>
            </w:r>
          </w:p>
          <w:p w:rsidR="003D38B1" w:rsidRPr="003D38B1" w:rsidRDefault="003D38B1" w:rsidP="00F62513">
            <w:pPr>
              <w:tabs>
                <w:tab w:val="left" w:pos="2880"/>
                <w:tab w:val="right" w:pos="13860"/>
              </w:tabs>
              <w:rPr>
                <w:rFonts w:ascii="Arial" w:hAnsi="Arial"/>
                <w:b/>
                <w:caps/>
                <w:color w:val="2669B2" w:themeColor="accent5"/>
                <w:sz w:val="8"/>
                <w:szCs w:val="8"/>
              </w:rPr>
            </w:pPr>
          </w:p>
          <w:p w:rsidR="00295226" w:rsidRP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 xml:space="preserve">Connaitre les règles de droit de différents types de congés, en particulier en matière de rémunération </w:t>
            </w:r>
            <w:r w:rsidRPr="00295226">
              <w:rPr>
                <w:rFonts w:ascii="Arial" w:hAnsi="Arial"/>
                <w:bCs/>
                <w:i/>
                <w:sz w:val="20"/>
              </w:rPr>
              <w:t>(</w:t>
            </w:r>
            <w:r w:rsidR="00B12440">
              <w:rPr>
                <w:rFonts w:ascii="Arial" w:hAnsi="Arial"/>
                <w:bCs/>
                <w:i/>
                <w:sz w:val="20"/>
              </w:rPr>
              <w:t xml:space="preserve">congés payés, </w:t>
            </w:r>
            <w:r w:rsidRPr="00295226">
              <w:rPr>
                <w:rFonts w:ascii="Arial" w:hAnsi="Arial"/>
                <w:bCs/>
                <w:i/>
                <w:sz w:val="20"/>
              </w:rPr>
              <w:t>congés pour évèneme</w:t>
            </w:r>
            <w:r>
              <w:rPr>
                <w:rFonts w:ascii="Arial" w:hAnsi="Arial"/>
                <w:bCs/>
                <w:i/>
                <w:sz w:val="20"/>
              </w:rPr>
              <w:t>nts familiaux, congés spéciaux etc.)</w:t>
            </w:r>
          </w:p>
          <w:p w:rsidR="00295226" w:rsidRDefault="00295226" w:rsidP="00295226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>Définir l’accident de travail, l’accident de trajet et la maladie professionnelle</w:t>
            </w:r>
            <w:r w:rsidR="00291497">
              <w:rPr>
                <w:rFonts w:ascii="Arial" w:hAnsi="Arial"/>
                <w:bCs/>
                <w:sz w:val="20"/>
              </w:rPr>
              <w:t xml:space="preserve"> et leu</w:t>
            </w:r>
            <w:r w:rsidR="00091EF5">
              <w:rPr>
                <w:rFonts w:ascii="Arial" w:hAnsi="Arial"/>
                <w:bCs/>
                <w:sz w:val="20"/>
              </w:rPr>
              <w:t>r</w:t>
            </w:r>
            <w:r w:rsidR="00291497">
              <w:rPr>
                <w:rFonts w:ascii="Arial" w:hAnsi="Arial"/>
                <w:bCs/>
                <w:sz w:val="20"/>
              </w:rPr>
              <w:t xml:space="preserve"> impact sur la rémunération </w:t>
            </w:r>
          </w:p>
          <w:p w:rsidR="004C584C" w:rsidRPr="00295226" w:rsidRDefault="004C584C" w:rsidP="004C584C">
            <w:pPr>
              <w:tabs>
                <w:tab w:val="left" w:pos="284"/>
              </w:tabs>
              <w:ind w:left="221" w:right="318"/>
              <w:rPr>
                <w:rFonts w:ascii="Arial" w:hAnsi="Arial"/>
                <w:bCs/>
                <w:sz w:val="20"/>
              </w:rPr>
            </w:pPr>
          </w:p>
          <w:p w:rsidR="004F5DC6" w:rsidRPr="003D38B1" w:rsidRDefault="004F5DC6" w:rsidP="004F5DC6">
            <w:pPr>
              <w:tabs>
                <w:tab w:val="left" w:pos="284"/>
              </w:tabs>
              <w:ind w:left="1036" w:right="318"/>
              <w:rPr>
                <w:rFonts w:ascii="Arial" w:hAnsi="Arial"/>
                <w:bCs/>
                <w:sz w:val="14"/>
              </w:rPr>
            </w:pPr>
          </w:p>
          <w:p w:rsidR="00291497" w:rsidRPr="00291497" w:rsidRDefault="00291497" w:rsidP="00291497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LA DÉTERMINATION DE LA R</w:t>
            </w:r>
            <w:r>
              <w:rPr>
                <w:rFonts w:ascii="Arial" w:hAnsi="Arial" w:cs="Arial"/>
                <w:b/>
                <w:bCs/>
                <w:sz w:val="20"/>
              </w:rPr>
              <w:t>É</w:t>
            </w:r>
            <w:r w:rsidRPr="00295226">
              <w:rPr>
                <w:rFonts w:ascii="Arial" w:hAnsi="Arial"/>
                <w:b/>
                <w:bCs/>
                <w:sz w:val="20"/>
              </w:rPr>
              <w:t>MUNERATION</w:t>
            </w:r>
          </w:p>
          <w:p w:rsidR="00291497" w:rsidRPr="00291497" w:rsidRDefault="00291497" w:rsidP="00291497">
            <w:pPr>
              <w:ind w:left="72"/>
              <w:rPr>
                <w:rFonts w:ascii="Arial" w:hAnsi="Arial"/>
                <w:b/>
                <w:bCs/>
                <w:sz w:val="20"/>
              </w:rPr>
            </w:pPr>
          </w:p>
          <w:p w:rsidR="00291497" w:rsidRPr="00291497" w:rsidRDefault="00291497" w:rsidP="00291497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>Identifier les composantes de la rémunération : salaire de base et accessoires</w:t>
            </w:r>
          </w:p>
          <w:p w:rsidR="00291497" w:rsidRPr="00291497" w:rsidRDefault="00291497" w:rsidP="00291497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1497">
              <w:rPr>
                <w:rFonts w:ascii="Arial" w:hAnsi="Arial"/>
                <w:bCs/>
                <w:sz w:val="20"/>
              </w:rPr>
              <w:t>Repérer si le salaire</w:t>
            </w:r>
            <w:r>
              <w:rPr>
                <w:rFonts w:ascii="Arial" w:hAnsi="Arial"/>
                <w:bCs/>
                <w:sz w:val="20"/>
              </w:rPr>
              <w:t xml:space="preserve"> minimum a été respecté (SMIC ou</w:t>
            </w:r>
            <w:r w:rsidRPr="00291497">
              <w:rPr>
                <w:rFonts w:ascii="Arial" w:hAnsi="Arial"/>
                <w:bCs/>
                <w:sz w:val="20"/>
              </w:rPr>
              <w:t xml:space="preserve"> salaire de base conventionnel)</w:t>
            </w:r>
          </w:p>
          <w:p w:rsidR="00291497" w:rsidRPr="00291497" w:rsidRDefault="00291497" w:rsidP="00291497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1497">
              <w:rPr>
                <w:rFonts w:ascii="Arial" w:hAnsi="Arial"/>
                <w:bCs/>
                <w:sz w:val="20"/>
              </w:rPr>
              <w:t xml:space="preserve">Faire ressortir les grands types de primes et leurs caractéristiques </w:t>
            </w:r>
          </w:p>
          <w:p w:rsidR="00291497" w:rsidRPr="00291497" w:rsidRDefault="00291497" w:rsidP="00291497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1497">
              <w:rPr>
                <w:rFonts w:ascii="Arial" w:hAnsi="Arial"/>
                <w:bCs/>
                <w:sz w:val="20"/>
              </w:rPr>
              <w:t>Apprendre à calculer un salaire de base</w:t>
            </w:r>
          </w:p>
          <w:p w:rsidR="008B1033" w:rsidRPr="008B1033" w:rsidRDefault="008B1033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12"/>
              </w:rPr>
            </w:pPr>
          </w:p>
          <w:p w:rsidR="0062215F" w:rsidRPr="008B1033" w:rsidRDefault="0062215F" w:rsidP="0062215F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8B1033">
              <w:rPr>
                <w:rFonts w:ascii="Arial" w:hAnsi="Arial"/>
                <w:bCs/>
                <w:color w:val="EA4F70" w:themeColor="accent1"/>
                <w:sz w:val="20"/>
              </w:rPr>
              <w:t>Questionnaires de contrôle des connaissances</w:t>
            </w:r>
          </w:p>
          <w:p w:rsidR="007C1814" w:rsidRPr="008B1033" w:rsidRDefault="0062215F" w:rsidP="008B1033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8B1033">
              <w:rPr>
                <w:rFonts w:ascii="Arial" w:hAnsi="Arial"/>
                <w:bCs/>
                <w:color w:val="EA4F70" w:themeColor="accent1"/>
                <w:sz w:val="20"/>
              </w:rPr>
              <w:t xml:space="preserve">A partir d’une situation donnée, résoudre un cas pratique </w:t>
            </w:r>
          </w:p>
        </w:tc>
        <w:tc>
          <w:tcPr>
            <w:tcW w:w="4961" w:type="dxa"/>
          </w:tcPr>
          <w:p w:rsidR="00A736C7" w:rsidRPr="003D38B1" w:rsidRDefault="00A736C7" w:rsidP="00AA7FF0">
            <w:pPr>
              <w:tabs>
                <w:tab w:val="left" w:pos="1605"/>
              </w:tabs>
              <w:rPr>
                <w:rFonts w:ascii="Arial" w:hAnsi="Arial"/>
                <w:b/>
                <w:caps/>
                <w:color w:val="2669B2" w:themeColor="accent5"/>
                <w:sz w:val="16"/>
              </w:rPr>
            </w:pPr>
          </w:p>
          <w:p w:rsidR="00291497" w:rsidRDefault="00291497" w:rsidP="00291497">
            <w:pPr>
              <w:ind w:left="72"/>
              <w:rPr>
                <w:rFonts w:ascii="Arial" w:hAnsi="Arial"/>
                <w:b/>
                <w:bCs/>
                <w:sz w:val="20"/>
              </w:rPr>
            </w:pPr>
            <w:r w:rsidRPr="00295226">
              <w:rPr>
                <w:rFonts w:ascii="Arial" w:hAnsi="Arial"/>
                <w:b/>
                <w:bCs/>
                <w:sz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</w:rPr>
              <w:t>A STRUCTURE D’UN BULLETIN DE PAI</w:t>
            </w:r>
            <w:r w:rsidRPr="00295226">
              <w:rPr>
                <w:rFonts w:ascii="Arial" w:hAnsi="Arial"/>
                <w:b/>
                <w:bCs/>
                <w:sz w:val="20"/>
              </w:rPr>
              <w:t>E</w:t>
            </w:r>
          </w:p>
          <w:p w:rsidR="00291497" w:rsidRPr="0058754B" w:rsidRDefault="00291497" w:rsidP="00291497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sz w:val="12"/>
              </w:rPr>
            </w:pPr>
          </w:p>
          <w:p w:rsidR="00291497" w:rsidRDefault="00291497" w:rsidP="00291497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5226">
              <w:rPr>
                <w:rFonts w:ascii="Arial" w:hAnsi="Arial"/>
                <w:bCs/>
                <w:sz w:val="20"/>
              </w:rPr>
              <w:t>Distinguer les grandes catégories de rémunération soumises à cotisations sociales, non soumises à cotisations sociales et le net à payer</w:t>
            </w:r>
          </w:p>
          <w:p w:rsidR="004C584C" w:rsidRPr="00684C8C" w:rsidRDefault="00291497" w:rsidP="00684C8C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291497">
              <w:rPr>
                <w:rFonts w:ascii="Arial" w:hAnsi="Arial"/>
                <w:bCs/>
                <w:sz w:val="20"/>
              </w:rPr>
              <w:t xml:space="preserve">Cerner la structure d’un bulletin de paie </w:t>
            </w:r>
            <w:r w:rsidR="00D367DE" w:rsidRPr="00684C8C">
              <w:rPr>
                <w:rFonts w:ascii="Arial" w:hAnsi="Arial"/>
                <w:bCs/>
                <w:sz w:val="20"/>
              </w:rPr>
              <w:t>et connaitre les mentions obligatoires</w:t>
            </w:r>
          </w:p>
          <w:p w:rsidR="00684C8C" w:rsidRPr="00684C8C" w:rsidRDefault="00D367DE" w:rsidP="00684C8C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  <w:tab w:val="num" w:pos="1440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684C8C">
              <w:rPr>
                <w:rFonts w:ascii="Arial" w:hAnsi="Arial"/>
                <w:bCs/>
                <w:sz w:val="20"/>
              </w:rPr>
              <w:t>Savoir calculer des CP pour en déterminer la méthode la plus avantageuse pour le salarié</w:t>
            </w:r>
          </w:p>
          <w:p w:rsidR="003C0824" w:rsidRPr="005101BE" w:rsidRDefault="003C0824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16"/>
                <w:szCs w:val="12"/>
              </w:rPr>
            </w:pPr>
          </w:p>
          <w:p w:rsidR="003C0824" w:rsidRDefault="00855CD0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20"/>
              </w:rPr>
            </w:pPr>
            <w:r w:rsidRPr="00855CD0">
              <w:rPr>
                <w:rFonts w:ascii="Arial" w:hAnsi="Arial"/>
                <w:b/>
                <w:bCs/>
                <w:sz w:val="20"/>
              </w:rPr>
              <w:t>LES OBL</w:t>
            </w:r>
            <w:r w:rsidR="00F953F9">
              <w:rPr>
                <w:rFonts w:ascii="Arial" w:hAnsi="Arial"/>
                <w:b/>
                <w:bCs/>
                <w:sz w:val="20"/>
              </w:rPr>
              <w:t>IGATIONS DE L’EMPLOYEUR EN MATI</w:t>
            </w:r>
            <w:r w:rsidR="00F953F9">
              <w:rPr>
                <w:rFonts w:ascii="Arial" w:hAnsi="Arial" w:cs="Arial"/>
                <w:b/>
                <w:bCs/>
                <w:sz w:val="20"/>
              </w:rPr>
              <w:t>È</w:t>
            </w:r>
            <w:r w:rsidR="00F953F9">
              <w:rPr>
                <w:rFonts w:ascii="Arial" w:hAnsi="Arial"/>
                <w:b/>
                <w:bCs/>
                <w:sz w:val="20"/>
              </w:rPr>
              <w:t>RE DE R</w:t>
            </w:r>
            <w:r w:rsidR="00F953F9">
              <w:rPr>
                <w:rFonts w:ascii="Arial" w:hAnsi="Arial" w:cs="Arial"/>
                <w:b/>
                <w:bCs/>
                <w:sz w:val="20"/>
              </w:rPr>
              <w:t>É</w:t>
            </w:r>
            <w:r w:rsidRPr="00855CD0">
              <w:rPr>
                <w:rFonts w:ascii="Arial" w:hAnsi="Arial"/>
                <w:b/>
                <w:bCs/>
                <w:sz w:val="20"/>
              </w:rPr>
              <w:t xml:space="preserve">MUNERATION </w:t>
            </w:r>
          </w:p>
          <w:p w:rsidR="00855CD0" w:rsidRPr="004C584C" w:rsidRDefault="00855CD0" w:rsidP="003C0824">
            <w:pPr>
              <w:tabs>
                <w:tab w:val="left" w:pos="284"/>
              </w:tabs>
              <w:ind w:right="318"/>
              <w:rPr>
                <w:rFonts w:ascii="Arial" w:hAnsi="Arial"/>
                <w:b/>
                <w:bCs/>
                <w:sz w:val="12"/>
                <w:szCs w:val="8"/>
              </w:rPr>
            </w:pPr>
          </w:p>
          <w:p w:rsidR="00855CD0" w:rsidRPr="00684C8C" w:rsidRDefault="00855CD0" w:rsidP="00855CD0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i/>
                <w:sz w:val="20"/>
              </w:rPr>
            </w:pPr>
            <w:r w:rsidRPr="00855CD0">
              <w:rPr>
                <w:rFonts w:ascii="Arial" w:hAnsi="Arial"/>
                <w:bCs/>
                <w:sz w:val="20"/>
              </w:rPr>
              <w:t xml:space="preserve">Identifier les interdits en matière de rémunération </w:t>
            </w:r>
          </w:p>
          <w:p w:rsidR="00684C8C" w:rsidRPr="003C0824" w:rsidRDefault="00684C8C" w:rsidP="00684C8C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 w:rsidRPr="00855CD0">
              <w:rPr>
                <w:rFonts w:ascii="Arial" w:hAnsi="Arial"/>
                <w:bCs/>
                <w:sz w:val="20"/>
              </w:rPr>
              <w:t>Distinguer le principe d’égalité de traitement et la discrimination salariale</w:t>
            </w:r>
          </w:p>
          <w:p w:rsidR="00855CD0" w:rsidRPr="00855CD0" w:rsidRDefault="00684C8C" w:rsidP="00855CD0">
            <w:pPr>
              <w:numPr>
                <w:ilvl w:val="0"/>
                <w:numId w:val="1"/>
              </w:numPr>
              <w:tabs>
                <w:tab w:val="clear" w:pos="1036"/>
                <w:tab w:val="left" w:pos="284"/>
                <w:tab w:val="num" w:pos="504"/>
              </w:tabs>
              <w:ind w:left="504" w:right="318" w:hanging="283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Déterminer l</w:t>
            </w:r>
            <w:r w:rsidR="00855CD0" w:rsidRPr="00855CD0">
              <w:rPr>
                <w:rFonts w:ascii="Arial" w:hAnsi="Arial"/>
                <w:bCs/>
                <w:sz w:val="20"/>
              </w:rPr>
              <w:t>es cas d’application du principe « A travail égal, salaire égal »</w:t>
            </w:r>
          </w:p>
          <w:p w:rsidR="003D38B1" w:rsidRPr="00CD214F" w:rsidRDefault="003D38B1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12"/>
                <w:szCs w:val="8"/>
              </w:rPr>
            </w:pPr>
          </w:p>
          <w:p w:rsidR="003D38B1" w:rsidRDefault="003D38B1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>
              <w:rPr>
                <w:rFonts w:ascii="Arial" w:hAnsi="Arial"/>
                <w:bCs/>
                <w:color w:val="EA4F70" w:themeColor="accent1"/>
                <w:sz w:val="20"/>
              </w:rPr>
              <w:t>Questionnaires de contrôle des connaissances</w:t>
            </w:r>
          </w:p>
          <w:p w:rsidR="007C1814" w:rsidRDefault="003D38B1" w:rsidP="003D38B1">
            <w:pPr>
              <w:tabs>
                <w:tab w:val="left" w:pos="284"/>
              </w:tabs>
              <w:ind w:right="318"/>
              <w:rPr>
                <w:rFonts w:ascii="Arial" w:hAnsi="Arial"/>
                <w:bCs/>
                <w:color w:val="EA4F70" w:themeColor="accent1"/>
                <w:sz w:val="20"/>
              </w:rPr>
            </w:pPr>
            <w:r w:rsidRPr="0062215F">
              <w:rPr>
                <w:rFonts w:ascii="Arial" w:hAnsi="Arial"/>
                <w:bCs/>
                <w:color w:val="EA4F70" w:themeColor="accent1"/>
                <w:sz w:val="20"/>
              </w:rPr>
              <w:t>A partir d’une situation donnée, résoudre un cas pratique</w:t>
            </w:r>
            <w:r>
              <w:rPr>
                <w:rFonts w:ascii="Arial" w:hAnsi="Arial"/>
                <w:bCs/>
                <w:color w:val="EA4F70" w:themeColor="accent1"/>
                <w:sz w:val="20"/>
              </w:rPr>
              <w:t xml:space="preserve"> </w:t>
            </w:r>
          </w:p>
          <w:p w:rsidR="00220153" w:rsidRPr="003D38B1" w:rsidRDefault="00220153" w:rsidP="007C1814">
            <w:pPr>
              <w:tabs>
                <w:tab w:val="left" w:pos="1605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F953F9" w:rsidRPr="0052175E" w:rsidRDefault="007C1814" w:rsidP="007C1814">
            <w:pPr>
              <w:tabs>
                <w:tab w:val="left" w:pos="16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175E">
              <w:rPr>
                <w:rFonts w:ascii="Arial" w:hAnsi="Arial" w:cs="Arial"/>
                <w:b/>
                <w:sz w:val="20"/>
                <w:szCs w:val="20"/>
              </w:rPr>
              <w:t>Évaluation, synthèse et clôture du stage</w:t>
            </w:r>
          </w:p>
        </w:tc>
      </w:tr>
    </w:tbl>
    <w:p w:rsidR="007C1814" w:rsidRPr="00A57F53" w:rsidRDefault="007C1814" w:rsidP="00BC1975">
      <w:pPr>
        <w:tabs>
          <w:tab w:val="left" w:pos="2509"/>
        </w:tabs>
      </w:pPr>
    </w:p>
    <w:sectPr w:rsidR="007C1814" w:rsidRPr="00A57F53" w:rsidSect="00A57F53">
      <w:headerReference w:type="default" r:id="rId7"/>
      <w:footerReference w:type="default" r:id="rId8"/>
      <w:pgSz w:w="16838" w:h="11906" w:orient="landscape" w:code="9"/>
      <w:pgMar w:top="1247" w:right="2523" w:bottom="1247" w:left="1134" w:header="79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DE" w:rsidRDefault="00D367DE" w:rsidP="009E0476">
      <w:pPr>
        <w:spacing w:after="0" w:line="240" w:lineRule="auto"/>
      </w:pPr>
      <w:r>
        <w:separator/>
      </w:r>
    </w:p>
  </w:endnote>
  <w:endnote w:type="continuationSeparator" w:id="0">
    <w:p w:rsidR="00D367DE" w:rsidRDefault="00D367DE" w:rsidP="009E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CD" w:rsidRPr="00005BCD" w:rsidRDefault="00005BCD">
    <w:pPr>
      <w:pStyle w:val="Pieddepage"/>
      <w:rPr>
        <w:sz w:val="18"/>
      </w:rPr>
    </w:pPr>
    <w:proofErr w:type="spellStart"/>
    <w:r w:rsidRPr="00005BCD">
      <w:rPr>
        <w:sz w:val="18"/>
      </w:rPr>
      <w:t>SFeP</w:t>
    </w:r>
    <w:proofErr w:type="spellEnd"/>
    <w:r w:rsidR="005D3918">
      <w:rPr>
        <w:sz w:val="18"/>
      </w:rPr>
      <w:t xml:space="preserve"> / ISF            PROG FM-</w:t>
    </w:r>
    <w:r w:rsidRPr="00005BCD">
      <w:rPr>
        <w:sz w:val="18"/>
      </w:rPr>
      <w:t>3</w:t>
    </w:r>
    <w:r w:rsidR="00295226">
      <w:rPr>
        <w:sz w:val="18"/>
      </w:rPr>
      <w:t>-4-3 EX</w:t>
    </w:r>
    <w:r w:rsidR="00295226" w:rsidRPr="00295226">
      <w:rPr>
        <w:sz w:val="18"/>
      </w:rPr>
      <w:t>É</w:t>
    </w:r>
    <w:r w:rsidR="00295226">
      <w:rPr>
        <w:sz w:val="18"/>
      </w:rPr>
      <w:t>CUTION DU CONTRAT DE TRAVAIL</w:t>
    </w:r>
    <w:r w:rsidRPr="00005BCD">
      <w:rPr>
        <w:sz w:val="18"/>
      </w:rPr>
      <w:t xml:space="preserve"> - </w:t>
    </w:r>
    <w:r>
      <w:rPr>
        <w:sz w:val="18"/>
      </w:rPr>
      <w:t xml:space="preserve"> </w:t>
    </w:r>
    <w:r w:rsidR="005D3918">
      <w:rPr>
        <w:sz w:val="18"/>
      </w:rPr>
      <w:t>mise à jour en</w:t>
    </w:r>
    <w:r w:rsidR="00291497">
      <w:rPr>
        <w:sz w:val="18"/>
      </w:rPr>
      <w:t xml:space="preserve"> juin </w:t>
    </w:r>
    <w:r w:rsidR="00295226">
      <w:rPr>
        <w:sz w:val="18"/>
      </w:rPr>
      <w:t>2023</w:t>
    </w:r>
    <w:r w:rsidRPr="00005BCD">
      <w:rPr>
        <w:sz w:val="18"/>
      </w:rPr>
      <w:t xml:space="preserve"> </w:t>
    </w:r>
  </w:p>
  <w:p w:rsidR="00005BCD" w:rsidRDefault="00005B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DE" w:rsidRDefault="00D367DE" w:rsidP="009E0476">
      <w:pPr>
        <w:spacing w:after="0" w:line="240" w:lineRule="auto"/>
      </w:pPr>
      <w:r>
        <w:separator/>
      </w:r>
    </w:p>
  </w:footnote>
  <w:footnote w:type="continuationSeparator" w:id="0">
    <w:p w:rsidR="00D367DE" w:rsidRDefault="00D367DE" w:rsidP="009E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76" w:rsidRPr="00005BCD" w:rsidRDefault="007C1814" w:rsidP="00005BCD">
    <w:pPr>
      <w:jc w:val="center"/>
      <w:rPr>
        <w:rFonts w:ascii="Arial" w:hAnsi="Arial" w:cs="Arial"/>
        <w:b/>
        <w:szCs w:val="28"/>
      </w:rPr>
    </w:pPr>
    <w:r w:rsidRPr="00005BCD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F6E66E5" wp14:editId="4412E75E">
          <wp:simplePos x="0" y="0"/>
          <wp:positionH relativeFrom="page">
            <wp:posOffset>419597</wp:posOffset>
          </wp:positionH>
          <wp:positionV relativeFrom="paragraph">
            <wp:posOffset>-278903</wp:posOffset>
          </wp:positionV>
          <wp:extent cx="993140" cy="567690"/>
          <wp:effectExtent l="0" t="0" r="0" b="381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54" b="15842"/>
                  <a:stretch/>
                </pic:blipFill>
                <pic:spPr bwMode="auto">
                  <a:xfrm>
                    <a:off x="0" y="0"/>
                    <a:ext cx="993140" cy="567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BCD">
      <w:rPr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6663707E" wp14:editId="0FDF852B">
              <wp:simplePos x="0" y="0"/>
              <wp:positionH relativeFrom="column">
                <wp:posOffset>8780145</wp:posOffset>
              </wp:positionH>
              <wp:positionV relativeFrom="paragraph">
                <wp:posOffset>-310515</wp:posOffset>
              </wp:positionV>
              <wp:extent cx="1125855" cy="7239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85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C1814" w:rsidRDefault="007C1814" w:rsidP="00295226">
                          <w:pPr>
                            <w:ind w:right="64"/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2DCDE6A" wp14:editId="3E4D52C3">
                                <wp:extent cx="886904" cy="501650"/>
                                <wp:effectExtent l="0" t="0" r="8890" b="0"/>
                                <wp:docPr id="13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SFeP_bleu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6904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663707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691.35pt;margin-top:-24.45pt;width:88.65pt;height:57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kCMgIAAFYEAAAOAAAAZHJzL2Uyb0RvYy54bWysVF1v2yAUfZ+0/4B4X+ykST+sOFXWKtOk&#10;qq2UVpX2RjDEloDLgMTOfv0u2Emjbk/TXvCFe7kf5xw8v+20InvhfAOmpONRTokwHKrGbEv6+rL6&#10;ck2JD8xUTIERJT0IT28Xnz/NW1uICdSgKuEIJjG+aG1J6xBskWWe10IzPwIrDDolOM0Cbt02qxxr&#10;MbtW2STPL7MWXGUdcOE9nt73TrpI+aUUPDxJ6UUgqqTYW0irS+smrtlizoqtY7Zu+NAG+4cuNGsM&#10;Fj2lumeBkZ1r/kilG+7AgwwjDjoDKRsu0gw4zTj/MM26ZlakWRAcb08w+f+Xlj/unx1pKuSOEsM0&#10;UvQDiSKVIEF0QZBxhKi1vsDItcXY0H2FLoYP5x4P4+SddDp+cSaCfgT7cAIYMxEeL40ns+vZjBKO&#10;vqvJxU2eGMjeb1vnwzcBmkSjpA4JTLiy/YMPWBFDjyGxmIFVo1QiURnSlvTyYpanCycP3lAGL8YZ&#10;+l6jFbpNNwywgeqAcznoxeEtXzVY/IH58MwcqgFHQYWHJ1ykAiwCg0VJDe7X385jPJKEXkpaVFdJ&#10;/c8dc4IS9d0gfTfj6TTKMW2ms6sJbty5Z3PuMTt9ByhgpAi7S2aMD+poSgf6DR/CMlZFFzMca5c0&#10;HM270GseHxIXy2UKQgFaFh7M2vKYOsIZoX3p3pizA/5RA49w1CErPtDQx/ZELHcBZJM4igD3qA64&#10;o3gTdcNDi6/jfJ+i3n8Hi98AAAD//wMAUEsDBBQABgAIAAAAIQA0+nID4wAAAAwBAAAPAAAAZHJz&#10;L2Rvd25yZXYueG1sTI/BTsMwEETvSPyDtUjcWqeBhBDiVFWkCgnBoaUXbk68TSLsdYjdNvTr657g&#10;ONqn2TfFcjKaHXF0vSUBi3kEDKmxqqdWwO5zPcuAOS9JSW0JBfyig2V5e1PIXNkTbfC49S0LJeRy&#10;KaDzfsg5d02HRrq5HZDCbW9HI32IY8vVKE+h3GgeR1HKjewpfOjkgFWHzff2YAS8VesPualjk511&#10;9fq+Xw0/u69EiPu7afUCzOPk/2C46gd1KINTbQ+kHNMhP2TxU2AFzB6zZ2BXJEmjsK8WkCYL4GXB&#10;/48oLwAAAP//AwBQSwECLQAUAAYACAAAACEAtoM4kv4AAADhAQAAEwAAAAAAAAAAAAAAAAAAAAAA&#10;W0NvbnRlbnRfVHlwZXNdLnhtbFBLAQItABQABgAIAAAAIQA4/SH/1gAAAJQBAAALAAAAAAAAAAAA&#10;AAAAAC8BAABfcmVscy8ucmVsc1BLAQItABQABgAIAAAAIQBEL/kCMgIAAFYEAAAOAAAAAAAAAAAA&#10;AAAAAC4CAABkcnMvZTJvRG9jLnhtbFBLAQItABQABgAIAAAAIQA0+nID4wAAAAwBAAAPAAAAAAAA&#10;AAAAAAAAAIwEAABkcnMvZG93bnJldi54bWxQSwUGAAAAAAQABADzAAAAnAUAAAAA&#10;" filled="f" stroked="f" strokeweight=".5pt">
              <v:textbox>
                <w:txbxContent>
                  <w:p w:rsidR="007C1814" w:rsidRDefault="007C1814" w:rsidP="00295226">
                    <w:pPr>
                      <w:ind w:right="64"/>
                      <w:jc w:val="center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2DCDE6A" wp14:editId="3E4D52C3">
                          <wp:extent cx="886904" cy="501650"/>
                          <wp:effectExtent l="0" t="0" r="8890" b="0"/>
                          <wp:docPr id="13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SFeP_bleu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6904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05BCD" w:rsidRPr="00005BCD">
      <w:rPr>
        <w:rFonts w:ascii="Arial" w:hAnsi="Arial" w:cs="Arial"/>
        <w:b/>
        <w:sz w:val="24"/>
      </w:rPr>
      <w:t>3</w:t>
    </w:r>
    <w:r w:rsidR="00295226">
      <w:rPr>
        <w:rFonts w:ascii="Arial" w:hAnsi="Arial" w:cs="Arial"/>
        <w:b/>
        <w:sz w:val="24"/>
      </w:rPr>
      <w:t>-4-3</w:t>
    </w:r>
    <w:r w:rsidR="005D3918">
      <w:rPr>
        <w:rFonts w:ascii="Arial" w:hAnsi="Arial" w:cs="Arial"/>
        <w:b/>
        <w:sz w:val="24"/>
      </w:rPr>
      <w:t xml:space="preserve"> </w:t>
    </w:r>
    <w:r w:rsidR="00295226">
      <w:rPr>
        <w:rFonts w:ascii="Arial" w:hAnsi="Arial" w:cs="Arial"/>
        <w:b/>
        <w:sz w:val="24"/>
      </w:rPr>
      <w:t>Exécution du contrat de travail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6"/>
      </v:shape>
    </w:pict>
  </w:numPicBullet>
  <w:abstractNum w:abstractNumId="0" w15:restartNumberingAfterBreak="0">
    <w:nsid w:val="155F0B9C"/>
    <w:multiLevelType w:val="hybridMultilevel"/>
    <w:tmpl w:val="16E6B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324"/>
    <w:multiLevelType w:val="hybridMultilevel"/>
    <w:tmpl w:val="272AF694"/>
    <w:lvl w:ilvl="0" w:tplc="8FB6BF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4933"/>
    <w:multiLevelType w:val="hybridMultilevel"/>
    <w:tmpl w:val="F45AE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4E0"/>
    <w:multiLevelType w:val="hybridMultilevel"/>
    <w:tmpl w:val="BD24AE9E"/>
    <w:lvl w:ilvl="0" w:tplc="040C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2AC06142">
      <w:start w:val="1"/>
      <w:numFmt w:val="bullet"/>
      <w:lvlText w:val=""/>
      <w:lvlPicBulletId w:val="0"/>
      <w:lvlJc w:val="left"/>
      <w:pPr>
        <w:tabs>
          <w:tab w:val="num" w:pos="1756"/>
        </w:tabs>
        <w:ind w:left="175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5AC74693"/>
    <w:multiLevelType w:val="hybridMultilevel"/>
    <w:tmpl w:val="5E0421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8609E"/>
    <w:multiLevelType w:val="hybridMultilevel"/>
    <w:tmpl w:val="3B7E98FA"/>
    <w:lvl w:ilvl="0" w:tplc="75BAFF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65B4"/>
    <w:multiLevelType w:val="hybridMultilevel"/>
    <w:tmpl w:val="0A547394"/>
    <w:lvl w:ilvl="0" w:tplc="6B46F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CF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7E83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C25C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B428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529D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127A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8459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4DB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82647"/>
    <w:multiLevelType w:val="hybridMultilevel"/>
    <w:tmpl w:val="B936F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355F2"/>
    <w:multiLevelType w:val="hybridMultilevel"/>
    <w:tmpl w:val="EB084F1E"/>
    <w:lvl w:ilvl="0" w:tplc="86F842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8650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9A41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60E60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3E65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CE3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DEC4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6CB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B6E04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05BCD"/>
    <w:rsid w:val="00013F5E"/>
    <w:rsid w:val="00014A5B"/>
    <w:rsid w:val="000267C3"/>
    <w:rsid w:val="00030703"/>
    <w:rsid w:val="0003094B"/>
    <w:rsid w:val="00054D24"/>
    <w:rsid w:val="000608EC"/>
    <w:rsid w:val="00063E22"/>
    <w:rsid w:val="0006415F"/>
    <w:rsid w:val="00077C56"/>
    <w:rsid w:val="000854DA"/>
    <w:rsid w:val="00091EF5"/>
    <w:rsid w:val="000A586D"/>
    <w:rsid w:val="000B02C4"/>
    <w:rsid w:val="000B12B2"/>
    <w:rsid w:val="000E6F24"/>
    <w:rsid w:val="000F0FFD"/>
    <w:rsid w:val="00192288"/>
    <w:rsid w:val="001A67BD"/>
    <w:rsid w:val="001A6E91"/>
    <w:rsid w:val="001A7D56"/>
    <w:rsid w:val="001D55E1"/>
    <w:rsid w:val="001F1ADA"/>
    <w:rsid w:val="001F40E9"/>
    <w:rsid w:val="001F6AE8"/>
    <w:rsid w:val="00211508"/>
    <w:rsid w:val="00220153"/>
    <w:rsid w:val="00225A74"/>
    <w:rsid w:val="00232317"/>
    <w:rsid w:val="00242DDB"/>
    <w:rsid w:val="00273884"/>
    <w:rsid w:val="00283DCC"/>
    <w:rsid w:val="00291497"/>
    <w:rsid w:val="00295226"/>
    <w:rsid w:val="002B363F"/>
    <w:rsid w:val="002B6D69"/>
    <w:rsid w:val="002C65A9"/>
    <w:rsid w:val="002E4076"/>
    <w:rsid w:val="00300183"/>
    <w:rsid w:val="00306DE6"/>
    <w:rsid w:val="00323A60"/>
    <w:rsid w:val="003631C6"/>
    <w:rsid w:val="00381731"/>
    <w:rsid w:val="00381925"/>
    <w:rsid w:val="00386D5C"/>
    <w:rsid w:val="0039237C"/>
    <w:rsid w:val="003A149D"/>
    <w:rsid w:val="003A7314"/>
    <w:rsid w:val="003B3FA7"/>
    <w:rsid w:val="003C0824"/>
    <w:rsid w:val="003D38B1"/>
    <w:rsid w:val="00414ED1"/>
    <w:rsid w:val="00421512"/>
    <w:rsid w:val="004274FF"/>
    <w:rsid w:val="00471D4E"/>
    <w:rsid w:val="004A2D4A"/>
    <w:rsid w:val="004B4104"/>
    <w:rsid w:val="004C584C"/>
    <w:rsid w:val="004C5D0E"/>
    <w:rsid w:val="004D66AD"/>
    <w:rsid w:val="004E469C"/>
    <w:rsid w:val="004E5A30"/>
    <w:rsid w:val="004F5DC6"/>
    <w:rsid w:val="00502D6C"/>
    <w:rsid w:val="005101BE"/>
    <w:rsid w:val="005214A8"/>
    <w:rsid w:val="00524651"/>
    <w:rsid w:val="00536DC5"/>
    <w:rsid w:val="00553988"/>
    <w:rsid w:val="005772A4"/>
    <w:rsid w:val="00581B53"/>
    <w:rsid w:val="00585212"/>
    <w:rsid w:val="0058754B"/>
    <w:rsid w:val="005B4024"/>
    <w:rsid w:val="005C2311"/>
    <w:rsid w:val="005D0F37"/>
    <w:rsid w:val="005D3918"/>
    <w:rsid w:val="005D5115"/>
    <w:rsid w:val="005F255A"/>
    <w:rsid w:val="005F75FE"/>
    <w:rsid w:val="0060228A"/>
    <w:rsid w:val="00613CB0"/>
    <w:rsid w:val="0062215F"/>
    <w:rsid w:val="00641200"/>
    <w:rsid w:val="00641385"/>
    <w:rsid w:val="00646959"/>
    <w:rsid w:val="00656ABD"/>
    <w:rsid w:val="00684C8C"/>
    <w:rsid w:val="006C38DC"/>
    <w:rsid w:val="006D2B66"/>
    <w:rsid w:val="006E1591"/>
    <w:rsid w:val="007163DA"/>
    <w:rsid w:val="00721FC6"/>
    <w:rsid w:val="00723D9C"/>
    <w:rsid w:val="0073136C"/>
    <w:rsid w:val="00736527"/>
    <w:rsid w:val="00741089"/>
    <w:rsid w:val="00741D74"/>
    <w:rsid w:val="00765B84"/>
    <w:rsid w:val="007975F6"/>
    <w:rsid w:val="007A4A5D"/>
    <w:rsid w:val="007C1814"/>
    <w:rsid w:val="007C193F"/>
    <w:rsid w:val="007C2E62"/>
    <w:rsid w:val="0082343B"/>
    <w:rsid w:val="00837E5C"/>
    <w:rsid w:val="0084158E"/>
    <w:rsid w:val="00855CD0"/>
    <w:rsid w:val="0086048C"/>
    <w:rsid w:val="00885A0A"/>
    <w:rsid w:val="00886250"/>
    <w:rsid w:val="008917DC"/>
    <w:rsid w:val="00893015"/>
    <w:rsid w:val="008B1033"/>
    <w:rsid w:val="008C6EA8"/>
    <w:rsid w:val="008E6022"/>
    <w:rsid w:val="008F6EA2"/>
    <w:rsid w:val="008F6EC6"/>
    <w:rsid w:val="00901C49"/>
    <w:rsid w:val="009129D6"/>
    <w:rsid w:val="00927478"/>
    <w:rsid w:val="00991015"/>
    <w:rsid w:val="00997DEB"/>
    <w:rsid w:val="00997EAB"/>
    <w:rsid w:val="009A4A7E"/>
    <w:rsid w:val="009E0476"/>
    <w:rsid w:val="00A209D0"/>
    <w:rsid w:val="00A34C94"/>
    <w:rsid w:val="00A35B41"/>
    <w:rsid w:val="00A426E9"/>
    <w:rsid w:val="00A46D8F"/>
    <w:rsid w:val="00A57F53"/>
    <w:rsid w:val="00A608FE"/>
    <w:rsid w:val="00A736C7"/>
    <w:rsid w:val="00A94261"/>
    <w:rsid w:val="00AA3121"/>
    <w:rsid w:val="00AA7FF0"/>
    <w:rsid w:val="00AB252A"/>
    <w:rsid w:val="00AC0246"/>
    <w:rsid w:val="00B12440"/>
    <w:rsid w:val="00B30927"/>
    <w:rsid w:val="00B41DFD"/>
    <w:rsid w:val="00B42BDF"/>
    <w:rsid w:val="00B938DC"/>
    <w:rsid w:val="00BC1975"/>
    <w:rsid w:val="00BC22E6"/>
    <w:rsid w:val="00BE3EFA"/>
    <w:rsid w:val="00C23D26"/>
    <w:rsid w:val="00C23F1A"/>
    <w:rsid w:val="00C41FDB"/>
    <w:rsid w:val="00C749D8"/>
    <w:rsid w:val="00C84B72"/>
    <w:rsid w:val="00C926AB"/>
    <w:rsid w:val="00CB7EDF"/>
    <w:rsid w:val="00CD214F"/>
    <w:rsid w:val="00CE0866"/>
    <w:rsid w:val="00CE27A9"/>
    <w:rsid w:val="00D06DB4"/>
    <w:rsid w:val="00D367DE"/>
    <w:rsid w:val="00D378FA"/>
    <w:rsid w:val="00D4461A"/>
    <w:rsid w:val="00D44F83"/>
    <w:rsid w:val="00D57A5A"/>
    <w:rsid w:val="00D62813"/>
    <w:rsid w:val="00D86C9C"/>
    <w:rsid w:val="00D91DFA"/>
    <w:rsid w:val="00DA51DF"/>
    <w:rsid w:val="00DA5217"/>
    <w:rsid w:val="00DC2B89"/>
    <w:rsid w:val="00DD2A32"/>
    <w:rsid w:val="00DF591C"/>
    <w:rsid w:val="00DF5A95"/>
    <w:rsid w:val="00DF716F"/>
    <w:rsid w:val="00E24E13"/>
    <w:rsid w:val="00E415F3"/>
    <w:rsid w:val="00E574E0"/>
    <w:rsid w:val="00E62E45"/>
    <w:rsid w:val="00E75C05"/>
    <w:rsid w:val="00E96424"/>
    <w:rsid w:val="00EB5115"/>
    <w:rsid w:val="00ED21A0"/>
    <w:rsid w:val="00ED550D"/>
    <w:rsid w:val="00EE5FB5"/>
    <w:rsid w:val="00F11544"/>
    <w:rsid w:val="00F238A8"/>
    <w:rsid w:val="00F354A1"/>
    <w:rsid w:val="00F43847"/>
    <w:rsid w:val="00F5585E"/>
    <w:rsid w:val="00F62513"/>
    <w:rsid w:val="00F66712"/>
    <w:rsid w:val="00F73A7C"/>
    <w:rsid w:val="00F953F9"/>
    <w:rsid w:val="00FA4BE8"/>
    <w:rsid w:val="00FD1D2C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685D68-2EF9-44C5-8DA4-6AD0D26C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476"/>
  </w:style>
  <w:style w:type="paragraph" w:styleId="Pieddepage">
    <w:name w:val="footer"/>
    <w:basedOn w:val="Normal"/>
    <w:link w:val="PieddepageCar"/>
    <w:uiPriority w:val="99"/>
    <w:unhideWhenUsed/>
    <w:rsid w:val="009E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476"/>
  </w:style>
  <w:style w:type="paragraph" w:customStyle="1" w:styleId="Paragraphestandard">
    <w:name w:val="[Paragraphe standard]"/>
    <w:basedOn w:val="Normal"/>
    <w:uiPriority w:val="99"/>
    <w:rsid w:val="003819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-NOM">
    <w:name w:val="1- NOM"/>
    <w:next w:val="2-ADRESSE"/>
    <w:link w:val="1-NOMCar"/>
    <w:qFormat/>
    <w:rsid w:val="00B938DC"/>
    <w:pPr>
      <w:spacing w:after="0" w:line="288" w:lineRule="exact"/>
      <w:jc w:val="right"/>
    </w:pPr>
    <w:rPr>
      <w:rFonts w:ascii="Tahoma" w:hAnsi="Tahoma" w:cs="Tahoma"/>
      <w:b/>
      <w:bCs/>
      <w:color w:val="20B29E" w:themeColor="accent6"/>
      <w:sz w:val="24"/>
      <w:szCs w:val="24"/>
    </w:rPr>
  </w:style>
  <w:style w:type="paragraph" w:customStyle="1" w:styleId="2-ADRESSE">
    <w:name w:val="2 - ADRESSE"/>
    <w:link w:val="2-ADRESSECar"/>
    <w:qFormat/>
    <w:rsid w:val="000E6F24"/>
    <w:pPr>
      <w:spacing w:after="0" w:line="264" w:lineRule="exact"/>
      <w:jc w:val="right"/>
    </w:pPr>
    <w:rPr>
      <w:sz w:val="20"/>
      <w:szCs w:val="20"/>
    </w:rPr>
  </w:style>
  <w:style w:type="character" w:customStyle="1" w:styleId="1-NOMCar">
    <w:name w:val="1- NOM Car"/>
    <w:basedOn w:val="Policepardfaut"/>
    <w:link w:val="1-NOM"/>
    <w:rsid w:val="00B938DC"/>
    <w:rPr>
      <w:rFonts w:ascii="Tahoma" w:hAnsi="Tahoma" w:cs="Tahoma"/>
      <w:b/>
      <w:bCs/>
      <w:color w:val="20B29E" w:themeColor="accent6"/>
      <w:sz w:val="24"/>
      <w:szCs w:val="24"/>
    </w:rPr>
  </w:style>
  <w:style w:type="paragraph" w:customStyle="1" w:styleId="3-STYLESBLEU">
    <w:name w:val="3- STYLES BLEU"/>
    <w:link w:val="3-STYLESBLEUCar"/>
    <w:qFormat/>
    <w:rsid w:val="00B938DC"/>
    <w:pPr>
      <w:spacing w:after="0" w:line="264" w:lineRule="exact"/>
    </w:pPr>
    <w:rPr>
      <w:rFonts w:ascii="Tahoma" w:hAnsi="Tahoma" w:cs="Tahoma"/>
      <w:b/>
      <w:bCs/>
      <w:color w:val="0F3F93" w:themeColor="text2"/>
      <w:sz w:val="24"/>
      <w:szCs w:val="24"/>
    </w:rPr>
  </w:style>
  <w:style w:type="character" w:customStyle="1" w:styleId="2-ADRESSECar">
    <w:name w:val="2 - ADRESSE Car"/>
    <w:basedOn w:val="Policepardfaut"/>
    <w:link w:val="2-ADRESSE"/>
    <w:rsid w:val="000E6F24"/>
    <w:rPr>
      <w:sz w:val="20"/>
      <w:szCs w:val="20"/>
    </w:rPr>
  </w:style>
  <w:style w:type="paragraph" w:customStyle="1" w:styleId="4-TEXTENORMAL">
    <w:name w:val="4- TEXTE NORMAL"/>
    <w:link w:val="4-TEXTENORMALCar"/>
    <w:qFormat/>
    <w:rsid w:val="000E6F24"/>
    <w:pPr>
      <w:spacing w:after="0" w:line="264" w:lineRule="exact"/>
    </w:pPr>
    <w:rPr>
      <w:sz w:val="20"/>
      <w:szCs w:val="20"/>
    </w:rPr>
  </w:style>
  <w:style w:type="character" w:customStyle="1" w:styleId="3-STYLESBLEUCar">
    <w:name w:val="3- STYLES BLEU Car"/>
    <w:basedOn w:val="Policepardfaut"/>
    <w:link w:val="3-STYLESBLEU"/>
    <w:rsid w:val="00B938DC"/>
    <w:rPr>
      <w:rFonts w:ascii="Tahoma" w:hAnsi="Tahoma" w:cs="Tahoma"/>
      <w:b/>
      <w:bCs/>
      <w:color w:val="0F3F93" w:themeColor="text2"/>
      <w:sz w:val="24"/>
      <w:szCs w:val="24"/>
    </w:rPr>
  </w:style>
  <w:style w:type="character" w:customStyle="1" w:styleId="4-TEXTENORMALCar">
    <w:name w:val="4- TEXTE NORMAL Car"/>
    <w:basedOn w:val="Policepardfaut"/>
    <w:link w:val="4-TEXTENORMAL"/>
    <w:rsid w:val="000E6F24"/>
    <w:rPr>
      <w:sz w:val="20"/>
      <w:szCs w:val="20"/>
    </w:rPr>
  </w:style>
  <w:style w:type="table" w:styleId="Grilledutableau">
    <w:name w:val="Table Grid"/>
    <w:basedOn w:val="TableauNormal"/>
    <w:uiPriority w:val="39"/>
    <w:rsid w:val="007C181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1814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732">
          <w:marLeft w:val="129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578">
          <w:marLeft w:val="129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partag&#233;s\Mod&#232;les%20Office\Nouvelle%20Charte%20-%20Courrier.dotx" TargetMode="External"/></Relationships>
</file>

<file path=word/theme/theme1.xml><?xml version="1.0" encoding="utf-8"?>
<a:theme xmlns:a="http://schemas.openxmlformats.org/drawingml/2006/main" name="Thème Office">
  <a:themeElements>
    <a:clrScheme name="C F T C">
      <a:dk1>
        <a:sysClr val="windowText" lastClr="000000"/>
      </a:dk1>
      <a:lt1>
        <a:sysClr val="window" lastClr="FFFFFF"/>
      </a:lt1>
      <a:dk2>
        <a:srgbClr val="0F3F93"/>
      </a:dk2>
      <a:lt2>
        <a:srgbClr val="E7E6E6"/>
      </a:lt2>
      <a:accent1>
        <a:srgbClr val="EA4F70"/>
      </a:accent1>
      <a:accent2>
        <a:srgbClr val="20B29E"/>
      </a:accent2>
      <a:accent3>
        <a:srgbClr val="A5A5A5"/>
      </a:accent3>
      <a:accent4>
        <a:srgbClr val="FBBB1D"/>
      </a:accent4>
      <a:accent5>
        <a:srgbClr val="2669B2"/>
      </a:accent5>
      <a:accent6>
        <a:srgbClr val="20B29E"/>
      </a:accent6>
      <a:hlink>
        <a:srgbClr val="0F3F9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Nouvelle Charte - Courrier</Template>
  <TotalTime>0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Loureiro Nathalie</dc:creator>
  <cp:keywords/>
  <dc:description/>
  <cp:lastModifiedBy>Elisabeth LE JARIEL</cp:lastModifiedBy>
  <cp:revision>2</cp:revision>
  <cp:lastPrinted>2022-10-13T09:42:00Z</cp:lastPrinted>
  <dcterms:created xsi:type="dcterms:W3CDTF">2024-10-18T07:44:00Z</dcterms:created>
  <dcterms:modified xsi:type="dcterms:W3CDTF">2024-10-18T07:44:00Z</dcterms:modified>
</cp:coreProperties>
</file>